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8F9A" w14:textId="77777777" w:rsidR="00E12D75" w:rsidRDefault="00E12D75" w:rsidP="00E12D75">
      <w:pPr>
        <w:spacing w:after="0" w:line="360" w:lineRule="auto"/>
      </w:pPr>
    </w:p>
    <w:p w14:paraId="7D5DE909" w14:textId="77777777" w:rsidR="00BC5FED" w:rsidRPr="00BC5FED" w:rsidRDefault="00BC5FED" w:rsidP="00E12D75">
      <w:pPr>
        <w:spacing w:after="0" w:line="360" w:lineRule="auto"/>
      </w:pPr>
    </w:p>
    <w:p w14:paraId="74C48230" w14:textId="77777777" w:rsidR="00863EDB" w:rsidRPr="00863EDB" w:rsidRDefault="00863EDB" w:rsidP="00863EDB">
      <w:pPr>
        <w:spacing w:after="0" w:line="360" w:lineRule="auto"/>
        <w:rPr>
          <w:b/>
          <w:bCs/>
        </w:rPr>
      </w:pPr>
      <w:r w:rsidRPr="00863EDB">
        <w:rPr>
          <w:b/>
          <w:bCs/>
        </w:rPr>
        <w:t>Fostering the Eno-Gastro Tourism in the Western Balkans Region</w:t>
      </w:r>
    </w:p>
    <w:p w14:paraId="31C3657F" w14:textId="69897883" w:rsidR="00863EDB" w:rsidRDefault="00863EDB" w:rsidP="00863EDB">
      <w:pPr>
        <w:spacing w:after="0" w:line="360" w:lineRule="auto"/>
      </w:pPr>
      <w:r w:rsidRPr="00863EDB">
        <w:rPr>
          <w:b/>
          <w:bCs/>
        </w:rPr>
        <w:t xml:space="preserve">Project Timeline: </w:t>
      </w:r>
      <w:r w:rsidRPr="00863EDB">
        <w:t>June – September 2025</w:t>
      </w:r>
      <w:r w:rsidRPr="00863EDB">
        <w:br/>
      </w:r>
      <w:r w:rsidRPr="00863EDB">
        <w:rPr>
          <w:b/>
          <w:bCs/>
        </w:rPr>
        <w:t xml:space="preserve">Project Partners: </w:t>
      </w:r>
      <w:r w:rsidRPr="00863EDB">
        <w:t xml:space="preserve">Wines of Macedonia, </w:t>
      </w:r>
      <w:proofErr w:type="spellStart"/>
      <w:r w:rsidRPr="00863EDB">
        <w:t>Uzdruzenje</w:t>
      </w:r>
      <w:proofErr w:type="spellEnd"/>
      <w:r w:rsidRPr="00863EDB">
        <w:t xml:space="preserve"> </w:t>
      </w:r>
      <w:proofErr w:type="spellStart"/>
      <w:r w:rsidRPr="00863EDB">
        <w:t>Sommeliera</w:t>
      </w:r>
      <w:proofErr w:type="spellEnd"/>
      <w:r w:rsidRPr="00863EDB">
        <w:t xml:space="preserve"> </w:t>
      </w:r>
      <w:proofErr w:type="spellStart"/>
      <w:r w:rsidRPr="00863EDB">
        <w:t>Crne</w:t>
      </w:r>
      <w:proofErr w:type="spellEnd"/>
      <w:r w:rsidRPr="00863EDB">
        <w:t xml:space="preserve"> Gore, </w:t>
      </w:r>
      <w:proofErr w:type="spellStart"/>
      <w:r w:rsidRPr="00863EDB">
        <w:t>Vinska</w:t>
      </w:r>
      <w:proofErr w:type="spellEnd"/>
      <w:r w:rsidRPr="00863EDB">
        <w:t xml:space="preserve"> </w:t>
      </w:r>
      <w:proofErr w:type="spellStart"/>
      <w:r w:rsidRPr="00863EDB">
        <w:t>Akademija</w:t>
      </w:r>
      <w:proofErr w:type="spellEnd"/>
      <w:r w:rsidRPr="00863EDB">
        <w:t xml:space="preserve"> </w:t>
      </w:r>
      <w:proofErr w:type="spellStart"/>
      <w:r w:rsidRPr="00863EDB">
        <w:t>Srbije</w:t>
      </w:r>
      <w:proofErr w:type="spellEnd"/>
    </w:p>
    <w:p w14:paraId="2F1A01F0" w14:textId="77777777" w:rsidR="00863EDB" w:rsidRDefault="00863EDB" w:rsidP="00863EDB">
      <w:pPr>
        <w:spacing w:after="0" w:line="360" w:lineRule="auto"/>
      </w:pPr>
    </w:p>
    <w:p w14:paraId="47CB4928" w14:textId="576DE32D" w:rsidR="00863EDB" w:rsidRDefault="00863EDB" w:rsidP="00863EDB">
      <w:pPr>
        <w:spacing w:after="0" w:line="360" w:lineRule="auto"/>
      </w:pPr>
      <w:r>
        <w:t>T</w:t>
      </w:r>
      <w:r w:rsidRPr="00863EDB">
        <w:t xml:space="preserve">he project </w:t>
      </w:r>
      <w:r w:rsidRPr="00863EDB">
        <w:rPr>
          <w:b/>
          <w:bCs/>
        </w:rPr>
        <w:t>“Fostering the Eno-Gastro Tourism in the Western Balkans Region”</w:t>
      </w:r>
      <w:r>
        <w:t xml:space="preserve"> will be</w:t>
      </w:r>
      <w:r w:rsidRPr="00863EDB">
        <w:t xml:space="preserve"> implemented by </w:t>
      </w:r>
      <w:r w:rsidRPr="00863EDB">
        <w:rPr>
          <w:b/>
          <w:bCs/>
        </w:rPr>
        <w:t>Wines of Macedonia</w:t>
      </w:r>
      <w:r w:rsidRPr="00863EDB">
        <w:t xml:space="preserve"> in collaboration with the </w:t>
      </w:r>
      <w:r w:rsidRPr="00863EDB">
        <w:rPr>
          <w:b/>
          <w:bCs/>
        </w:rPr>
        <w:t>Western Balkans Fund</w:t>
      </w:r>
      <w:r w:rsidRPr="00863EDB">
        <w:t xml:space="preserve">, </w:t>
      </w:r>
      <w:proofErr w:type="spellStart"/>
      <w:r w:rsidRPr="00863EDB">
        <w:rPr>
          <w:b/>
          <w:bCs/>
        </w:rPr>
        <w:t>Uzdruzenje</w:t>
      </w:r>
      <w:proofErr w:type="spellEnd"/>
      <w:r w:rsidRPr="00863EDB">
        <w:rPr>
          <w:b/>
          <w:bCs/>
        </w:rPr>
        <w:t xml:space="preserve"> </w:t>
      </w:r>
      <w:proofErr w:type="spellStart"/>
      <w:r w:rsidRPr="00863EDB">
        <w:rPr>
          <w:b/>
          <w:bCs/>
        </w:rPr>
        <w:t>Sommeliera</w:t>
      </w:r>
      <w:proofErr w:type="spellEnd"/>
      <w:r w:rsidRPr="00863EDB">
        <w:rPr>
          <w:b/>
          <w:bCs/>
        </w:rPr>
        <w:t xml:space="preserve"> </w:t>
      </w:r>
      <w:proofErr w:type="spellStart"/>
      <w:r w:rsidRPr="00863EDB">
        <w:rPr>
          <w:b/>
          <w:bCs/>
        </w:rPr>
        <w:t>Crne</w:t>
      </w:r>
      <w:proofErr w:type="spellEnd"/>
      <w:r w:rsidRPr="00863EDB">
        <w:rPr>
          <w:b/>
          <w:bCs/>
        </w:rPr>
        <w:t xml:space="preserve"> Gore</w:t>
      </w:r>
      <w:r w:rsidRPr="00863EDB">
        <w:t xml:space="preserve">, and </w:t>
      </w:r>
      <w:proofErr w:type="spellStart"/>
      <w:r w:rsidRPr="00863EDB">
        <w:rPr>
          <w:b/>
          <w:bCs/>
        </w:rPr>
        <w:t>Vinska</w:t>
      </w:r>
      <w:proofErr w:type="spellEnd"/>
      <w:r w:rsidRPr="00863EDB">
        <w:rPr>
          <w:b/>
          <w:bCs/>
        </w:rPr>
        <w:t xml:space="preserve"> </w:t>
      </w:r>
      <w:proofErr w:type="spellStart"/>
      <w:r w:rsidRPr="00863EDB">
        <w:rPr>
          <w:b/>
          <w:bCs/>
        </w:rPr>
        <w:t>Akademija</w:t>
      </w:r>
      <w:proofErr w:type="spellEnd"/>
      <w:r w:rsidRPr="00863EDB">
        <w:rPr>
          <w:b/>
          <w:bCs/>
        </w:rPr>
        <w:t xml:space="preserve"> </w:t>
      </w:r>
      <w:proofErr w:type="spellStart"/>
      <w:r w:rsidRPr="00863EDB">
        <w:rPr>
          <w:b/>
          <w:bCs/>
        </w:rPr>
        <w:t>Srbije</w:t>
      </w:r>
      <w:proofErr w:type="spellEnd"/>
      <w:r>
        <w:rPr>
          <w:b/>
          <w:bCs/>
        </w:rPr>
        <w:t xml:space="preserve"> </w:t>
      </w:r>
      <w:r w:rsidRPr="00863EDB">
        <w:t>in 2025</w:t>
      </w:r>
      <w:r w:rsidRPr="00863EDB">
        <w:t xml:space="preserve">. This regional initiative is </w:t>
      </w:r>
      <w:r w:rsidRPr="00863EDB">
        <w:rPr>
          <w:b/>
          <w:bCs/>
        </w:rPr>
        <w:t>financially supported by the Western Balkans Fund 7th Call for Proposals</w:t>
      </w:r>
      <w:r w:rsidRPr="00863EDB">
        <w:t xml:space="preserve">, and </w:t>
      </w:r>
      <w:r w:rsidRPr="00863EDB">
        <w:rPr>
          <w:b/>
          <w:bCs/>
        </w:rPr>
        <w:t>co-funded by the European Union</w:t>
      </w:r>
      <w:r w:rsidRPr="00863EDB">
        <w:t xml:space="preserve"> through the </w:t>
      </w:r>
      <w:r w:rsidRPr="00863EDB">
        <w:rPr>
          <w:b/>
          <w:bCs/>
        </w:rPr>
        <w:t>IPA III – Instrument for Pre-Accession Assistance</w:t>
      </w:r>
      <w:r w:rsidRPr="00863EDB">
        <w:t>.</w:t>
      </w:r>
    </w:p>
    <w:p w14:paraId="010183AD" w14:textId="77777777" w:rsidR="00863EDB" w:rsidRPr="00863EDB" w:rsidRDefault="00863EDB" w:rsidP="00863EDB">
      <w:pPr>
        <w:spacing w:after="0" w:line="360" w:lineRule="auto"/>
      </w:pPr>
    </w:p>
    <w:p w14:paraId="5CC2610A" w14:textId="77777777" w:rsidR="00863EDB" w:rsidRPr="00863EDB" w:rsidRDefault="00863EDB" w:rsidP="00863EDB">
      <w:pPr>
        <w:spacing w:after="0" w:line="360" w:lineRule="auto"/>
        <w:rPr>
          <w:b/>
          <w:bCs/>
        </w:rPr>
      </w:pPr>
      <w:r w:rsidRPr="00863EDB">
        <w:rPr>
          <w:b/>
          <w:bCs/>
        </w:rPr>
        <w:t>Project Objectives</w:t>
      </w:r>
    </w:p>
    <w:p w14:paraId="2811B0D9" w14:textId="77777777" w:rsidR="00863EDB" w:rsidRPr="00863EDB" w:rsidRDefault="00863EDB" w:rsidP="00863EDB">
      <w:pPr>
        <w:spacing w:after="0" w:line="360" w:lineRule="auto"/>
      </w:pPr>
      <w:r w:rsidRPr="00863EDB">
        <w:t xml:space="preserve">This project seeks to enhance the </w:t>
      </w:r>
      <w:r w:rsidRPr="00863EDB">
        <w:rPr>
          <w:b/>
          <w:bCs/>
        </w:rPr>
        <w:t>competitiveness</w:t>
      </w:r>
      <w:r w:rsidRPr="00863EDB">
        <w:t xml:space="preserve">, </w:t>
      </w:r>
      <w:r w:rsidRPr="00863EDB">
        <w:rPr>
          <w:b/>
          <w:bCs/>
        </w:rPr>
        <w:t>sustainability</w:t>
      </w:r>
      <w:r w:rsidRPr="00863EDB">
        <w:t xml:space="preserve">, and </w:t>
      </w:r>
      <w:r w:rsidRPr="00863EDB">
        <w:rPr>
          <w:b/>
          <w:bCs/>
        </w:rPr>
        <w:t>regional cooperation</w:t>
      </w:r>
      <w:r w:rsidRPr="00863EDB">
        <w:t xml:space="preserve"> within the </w:t>
      </w:r>
      <w:proofErr w:type="spellStart"/>
      <w:r w:rsidRPr="00863EDB">
        <w:t>eno</w:t>
      </w:r>
      <w:proofErr w:type="spellEnd"/>
      <w:r w:rsidRPr="00863EDB">
        <w:t>-gastro tourism sector across the Western Balkans. By empowering local stakeholders, the project aims to:</w:t>
      </w:r>
    </w:p>
    <w:p w14:paraId="49BA441B" w14:textId="77777777" w:rsidR="00863EDB" w:rsidRPr="00863EDB" w:rsidRDefault="00863EDB" w:rsidP="00863EDB">
      <w:pPr>
        <w:numPr>
          <w:ilvl w:val="0"/>
          <w:numId w:val="14"/>
        </w:numPr>
        <w:spacing w:after="0" w:line="360" w:lineRule="auto"/>
      </w:pPr>
      <w:r w:rsidRPr="00863EDB">
        <w:t>Strengthen skills and sustainable practices through cross-border training</w:t>
      </w:r>
    </w:p>
    <w:p w14:paraId="09D3A065" w14:textId="77777777" w:rsidR="00863EDB" w:rsidRPr="00863EDB" w:rsidRDefault="00863EDB" w:rsidP="00863EDB">
      <w:pPr>
        <w:numPr>
          <w:ilvl w:val="0"/>
          <w:numId w:val="14"/>
        </w:numPr>
        <w:spacing w:after="0" w:line="360" w:lineRule="auto"/>
      </w:pPr>
      <w:r w:rsidRPr="00863EDB">
        <w:t>Promote the rich wine and culinary culture of the region</w:t>
      </w:r>
    </w:p>
    <w:p w14:paraId="16BCFB57" w14:textId="77777777" w:rsidR="00863EDB" w:rsidRPr="00863EDB" w:rsidRDefault="00863EDB" w:rsidP="00863EDB">
      <w:pPr>
        <w:numPr>
          <w:ilvl w:val="0"/>
          <w:numId w:val="14"/>
        </w:numPr>
        <w:spacing w:after="0" w:line="360" w:lineRule="auto"/>
      </w:pPr>
      <w:r w:rsidRPr="00863EDB">
        <w:t>Connect key actors to stimulate future collaboration and shared initiatives</w:t>
      </w:r>
    </w:p>
    <w:p w14:paraId="6B02F85E" w14:textId="77777777" w:rsidR="00863EDB" w:rsidRPr="00863EDB" w:rsidRDefault="00863EDB" w:rsidP="00863EDB">
      <w:pPr>
        <w:spacing w:after="0" w:line="360" w:lineRule="auto"/>
        <w:rPr>
          <w:b/>
          <w:bCs/>
        </w:rPr>
      </w:pPr>
      <w:r w:rsidRPr="00863EDB">
        <w:rPr>
          <w:b/>
          <w:bCs/>
        </w:rPr>
        <w:t>Key Activities</w:t>
      </w:r>
    </w:p>
    <w:p w14:paraId="6BFF1E17" w14:textId="77777777" w:rsidR="00863EDB" w:rsidRPr="00863EDB" w:rsidRDefault="00863EDB" w:rsidP="00863EDB">
      <w:pPr>
        <w:spacing w:after="0" w:line="360" w:lineRule="auto"/>
      </w:pPr>
      <w:r w:rsidRPr="00863EDB">
        <w:t>Over the course of the project, partners will:</w:t>
      </w:r>
    </w:p>
    <w:p w14:paraId="35324095" w14:textId="77777777" w:rsidR="00863EDB" w:rsidRPr="00863EDB" w:rsidRDefault="00863EDB" w:rsidP="00863EDB">
      <w:pPr>
        <w:numPr>
          <w:ilvl w:val="0"/>
          <w:numId w:val="15"/>
        </w:numPr>
        <w:spacing w:after="0" w:line="360" w:lineRule="auto"/>
      </w:pPr>
      <w:r w:rsidRPr="00863EDB">
        <w:rPr>
          <w:b/>
          <w:bCs/>
        </w:rPr>
        <w:t>Design and implement a cross-border educational program</w:t>
      </w:r>
      <w:r w:rsidRPr="00863EDB">
        <w:t xml:space="preserve"> to build capacity among </w:t>
      </w:r>
      <w:proofErr w:type="spellStart"/>
      <w:r w:rsidRPr="00863EDB">
        <w:t>eno</w:t>
      </w:r>
      <w:proofErr w:type="spellEnd"/>
      <w:r w:rsidRPr="00863EDB">
        <w:t>-gastro tourism stakeholders</w:t>
      </w:r>
    </w:p>
    <w:p w14:paraId="63E46114" w14:textId="77777777" w:rsidR="00863EDB" w:rsidRPr="00863EDB" w:rsidRDefault="00863EDB" w:rsidP="00863EDB">
      <w:pPr>
        <w:numPr>
          <w:ilvl w:val="0"/>
          <w:numId w:val="15"/>
        </w:numPr>
        <w:spacing w:after="0" w:line="360" w:lineRule="auto"/>
      </w:pPr>
      <w:r w:rsidRPr="00863EDB">
        <w:rPr>
          <w:b/>
          <w:bCs/>
        </w:rPr>
        <w:t>Launch a regional visibility platform</w:t>
      </w:r>
      <w:r w:rsidRPr="00863EDB">
        <w:t xml:space="preserve"> to promote project activities and highlight </w:t>
      </w:r>
      <w:proofErr w:type="spellStart"/>
      <w:r w:rsidRPr="00863EDB">
        <w:t>eno</w:t>
      </w:r>
      <w:proofErr w:type="spellEnd"/>
      <w:r w:rsidRPr="00863EDB">
        <w:t>-gastro initiatives</w:t>
      </w:r>
    </w:p>
    <w:p w14:paraId="4B6D2B02" w14:textId="77777777" w:rsidR="00863EDB" w:rsidRPr="00863EDB" w:rsidRDefault="00863EDB" w:rsidP="00863EDB">
      <w:pPr>
        <w:numPr>
          <w:ilvl w:val="0"/>
          <w:numId w:val="15"/>
        </w:numPr>
        <w:spacing w:after="0" w:line="360" w:lineRule="auto"/>
      </w:pPr>
      <w:r w:rsidRPr="00863EDB">
        <w:rPr>
          <w:b/>
          <w:bCs/>
        </w:rPr>
        <w:t>Produce a series of mini-podcasts</w:t>
      </w:r>
      <w:r w:rsidRPr="00863EDB">
        <w:t xml:space="preserve"> featuring conversations with regional experts on the current trends and future potential of </w:t>
      </w:r>
      <w:proofErr w:type="spellStart"/>
      <w:r w:rsidRPr="00863EDB">
        <w:t>eno</w:t>
      </w:r>
      <w:proofErr w:type="spellEnd"/>
      <w:r w:rsidRPr="00863EDB">
        <w:t>-gastro tourism in the Western Balkans</w:t>
      </w:r>
    </w:p>
    <w:p w14:paraId="3617D766" w14:textId="77777777" w:rsidR="00863EDB" w:rsidRPr="00863EDB" w:rsidRDefault="00863EDB" w:rsidP="00863EDB">
      <w:pPr>
        <w:spacing w:after="0" w:line="360" w:lineRule="auto"/>
        <w:rPr>
          <w:b/>
          <w:bCs/>
        </w:rPr>
      </w:pPr>
      <w:r w:rsidRPr="00863EDB">
        <w:rPr>
          <w:b/>
          <w:bCs/>
        </w:rPr>
        <w:t>A Collaborative Vision for the Future</w:t>
      </w:r>
    </w:p>
    <w:p w14:paraId="4BAF3E91" w14:textId="5952369E" w:rsidR="00863EDB" w:rsidRPr="00863EDB" w:rsidRDefault="00863EDB" w:rsidP="00863EDB">
      <w:pPr>
        <w:spacing w:after="0" w:line="360" w:lineRule="auto"/>
      </w:pPr>
      <w:r w:rsidRPr="00863EDB">
        <w:lastRenderedPageBreak/>
        <w:t>With the support of our</w:t>
      </w:r>
      <w:r>
        <w:t xml:space="preserve"> </w:t>
      </w:r>
      <w:r w:rsidRPr="00863EDB">
        <w:t xml:space="preserve">regional collaborators, including the </w:t>
      </w:r>
      <w:r w:rsidRPr="00863EDB">
        <w:rPr>
          <w:b/>
          <w:bCs/>
        </w:rPr>
        <w:t>Balkan Wines Association</w:t>
      </w:r>
      <w:r w:rsidRPr="00863EDB">
        <w:t xml:space="preserve">, this project represents a joint effort to foster a more integrated and resilient </w:t>
      </w:r>
      <w:proofErr w:type="spellStart"/>
      <w:r w:rsidRPr="00863EDB">
        <w:t>eno</w:t>
      </w:r>
      <w:proofErr w:type="spellEnd"/>
      <w:r w:rsidRPr="00863EDB">
        <w:t>-gastro tourism landscape—one that values collaboration, cultural richness, and sustainable development.</w:t>
      </w:r>
    </w:p>
    <w:p w14:paraId="27455C3C" w14:textId="77777777" w:rsidR="00863EDB" w:rsidRPr="00863EDB" w:rsidRDefault="00863EDB" w:rsidP="00863EDB">
      <w:pPr>
        <w:spacing w:after="0" w:line="360" w:lineRule="auto"/>
      </w:pPr>
    </w:p>
    <w:p w14:paraId="2A636441" w14:textId="77777777" w:rsidR="00BC5FED" w:rsidRPr="00BC5FED" w:rsidRDefault="00BC5FED" w:rsidP="00E12D75">
      <w:pPr>
        <w:spacing w:after="0" w:line="360" w:lineRule="auto"/>
      </w:pPr>
    </w:p>
    <w:sectPr w:rsidR="00BC5FED" w:rsidRPr="00BC5F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969A" w14:textId="77777777" w:rsidR="00E53E40" w:rsidRDefault="00E53E40" w:rsidP="00245CED">
      <w:pPr>
        <w:spacing w:after="0" w:line="240" w:lineRule="auto"/>
      </w:pPr>
      <w:r>
        <w:separator/>
      </w:r>
    </w:p>
  </w:endnote>
  <w:endnote w:type="continuationSeparator" w:id="0">
    <w:p w14:paraId="2BBA152E" w14:textId="77777777" w:rsidR="00E53E40" w:rsidRDefault="00E53E40" w:rsidP="0024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1C02" w14:textId="51209FAE" w:rsidR="00245CED" w:rsidRPr="003316A2" w:rsidRDefault="003316A2" w:rsidP="003316A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889A6C" wp14:editId="7028486B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1494155" cy="449580"/>
          <wp:effectExtent l="0" t="0" r="0" b="7620"/>
          <wp:wrapSquare wrapText="bothSides"/>
          <wp:docPr id="16823713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36D5C70" wp14:editId="64BF9BE5">
          <wp:simplePos x="0" y="0"/>
          <wp:positionH relativeFrom="column">
            <wp:posOffset>2415540</wp:posOffset>
          </wp:positionH>
          <wp:positionV relativeFrom="paragraph">
            <wp:posOffset>190500</wp:posOffset>
          </wp:positionV>
          <wp:extent cx="1613535" cy="586740"/>
          <wp:effectExtent l="0" t="0" r="5715" b="3810"/>
          <wp:wrapSquare wrapText="bothSides"/>
          <wp:docPr id="16364774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965A7C" wp14:editId="3D0FED71">
          <wp:extent cx="2125980" cy="89968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146" cy="908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610F" w14:textId="77777777" w:rsidR="00E53E40" w:rsidRDefault="00E53E40" w:rsidP="00245CED">
      <w:pPr>
        <w:spacing w:after="0" w:line="240" w:lineRule="auto"/>
      </w:pPr>
      <w:r>
        <w:separator/>
      </w:r>
    </w:p>
  </w:footnote>
  <w:footnote w:type="continuationSeparator" w:id="0">
    <w:p w14:paraId="650DFF2E" w14:textId="77777777" w:rsidR="00E53E40" w:rsidRDefault="00E53E40" w:rsidP="0024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2F9A" w14:textId="725F8655" w:rsidR="00245CED" w:rsidRDefault="00A91B3D" w:rsidP="00245CED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B16E87" wp14:editId="54F7AF47">
              <wp:simplePos x="0" y="0"/>
              <wp:positionH relativeFrom="margin">
                <wp:align>center</wp:align>
              </wp:positionH>
              <wp:positionV relativeFrom="paragraph">
                <wp:posOffset>-347345</wp:posOffset>
              </wp:positionV>
              <wp:extent cx="2080260" cy="800100"/>
              <wp:effectExtent l="0" t="0" r="15240" b="19050"/>
              <wp:wrapSquare wrapText="bothSides"/>
              <wp:docPr id="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71D68" w14:textId="77777777" w:rsidR="00A91B3D" w:rsidRPr="00A0066E" w:rsidRDefault="00A91B3D" w:rsidP="00A91B3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0066E">
                            <w:rPr>
                              <w:b/>
                              <w:sz w:val="18"/>
                              <w:szCs w:val="18"/>
                            </w:rPr>
                            <w:t>CN 2023/449-078</w:t>
                          </w:r>
                        </w:p>
                        <w:p w14:paraId="748FF59F" w14:textId="77777777" w:rsidR="00A91B3D" w:rsidRPr="00A0066E" w:rsidRDefault="00A91B3D" w:rsidP="00A91B3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0066E">
                            <w:rPr>
                              <w:b/>
                              <w:sz w:val="18"/>
                              <w:szCs w:val="18"/>
                            </w:rPr>
                            <w:t xml:space="preserve">Support to the promotion of Civil Society regional actions in the Western Balkans (Phase II) </w:t>
                          </w:r>
                        </w:p>
                        <w:p w14:paraId="51CEC29B" w14:textId="77777777" w:rsidR="00A91B3D" w:rsidRPr="00A0066E" w:rsidRDefault="00A91B3D" w:rsidP="00A91B3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16E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27.35pt;width:163.8pt;height:6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">
              <v:textbox>
                <w:txbxContent>
                  <w:p w14:paraId="41D71D68" w14:textId="77777777" w:rsidR="00A91B3D" w:rsidRPr="00A0066E" w:rsidRDefault="00A91B3D" w:rsidP="00A91B3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0066E">
                      <w:rPr>
                        <w:b/>
                        <w:sz w:val="18"/>
                        <w:szCs w:val="18"/>
                      </w:rPr>
                      <w:t>CN 2023/449-078</w:t>
                    </w:r>
                  </w:p>
                  <w:p w14:paraId="748FF59F" w14:textId="77777777" w:rsidR="00A91B3D" w:rsidRPr="00A0066E" w:rsidRDefault="00A91B3D" w:rsidP="00A91B3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0066E">
                      <w:rPr>
                        <w:b/>
                        <w:sz w:val="18"/>
                        <w:szCs w:val="18"/>
                      </w:rPr>
                      <w:t xml:space="preserve">Support to the promotion of Civil Society regional actions in the Western Balkans (Phase II) </w:t>
                    </w:r>
                  </w:p>
                  <w:p w14:paraId="51CEC29B" w14:textId="77777777" w:rsidR="00A91B3D" w:rsidRPr="00A0066E" w:rsidRDefault="00A91B3D" w:rsidP="00A91B3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316A2">
      <w:rPr>
        <w:noProof/>
      </w:rPr>
      <w:drawing>
        <wp:anchor distT="0" distB="0" distL="114300" distR="114300" simplePos="0" relativeHeight="251661312" behindDoc="0" locked="0" layoutInCell="1" allowOverlap="1" wp14:anchorId="4C23C43D" wp14:editId="6535F523">
          <wp:simplePos x="0" y="0"/>
          <wp:positionH relativeFrom="margin">
            <wp:align>right</wp:align>
          </wp:positionH>
          <wp:positionV relativeFrom="paragraph">
            <wp:posOffset>-678180</wp:posOffset>
          </wp:positionV>
          <wp:extent cx="1236345" cy="1236345"/>
          <wp:effectExtent l="0" t="0" r="1905" b="1905"/>
          <wp:wrapSquare wrapText="bothSides"/>
          <wp:docPr id="158883710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236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6A2">
      <w:rPr>
        <w:noProof/>
      </w:rPr>
      <w:drawing>
        <wp:anchor distT="0" distB="0" distL="114300" distR="114300" simplePos="0" relativeHeight="251660288" behindDoc="0" locked="0" layoutInCell="1" allowOverlap="1" wp14:anchorId="4647F1B4" wp14:editId="3167A562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845820" cy="856615"/>
          <wp:effectExtent l="0" t="0" r="0" b="635"/>
          <wp:wrapSquare wrapText="bothSides"/>
          <wp:docPr id="15503751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42C"/>
    <w:multiLevelType w:val="hybridMultilevel"/>
    <w:tmpl w:val="2FFA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DA6"/>
    <w:multiLevelType w:val="hybridMultilevel"/>
    <w:tmpl w:val="5D62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389"/>
    <w:multiLevelType w:val="hybridMultilevel"/>
    <w:tmpl w:val="0A58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DFB"/>
    <w:multiLevelType w:val="hybridMultilevel"/>
    <w:tmpl w:val="8BAA7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E0C"/>
    <w:multiLevelType w:val="hybridMultilevel"/>
    <w:tmpl w:val="433E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05C"/>
    <w:multiLevelType w:val="hybridMultilevel"/>
    <w:tmpl w:val="CADE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C45E0"/>
    <w:multiLevelType w:val="multilevel"/>
    <w:tmpl w:val="DBA0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024E3"/>
    <w:multiLevelType w:val="multilevel"/>
    <w:tmpl w:val="9C54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B319D"/>
    <w:multiLevelType w:val="hybridMultilevel"/>
    <w:tmpl w:val="A5E0E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846"/>
    <w:multiLevelType w:val="hybridMultilevel"/>
    <w:tmpl w:val="C84E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324C"/>
    <w:multiLevelType w:val="hybridMultilevel"/>
    <w:tmpl w:val="C23CEE4E"/>
    <w:lvl w:ilvl="0" w:tplc="728CF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F07C9"/>
    <w:multiLevelType w:val="hybridMultilevel"/>
    <w:tmpl w:val="C84A6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935098"/>
    <w:multiLevelType w:val="hybridMultilevel"/>
    <w:tmpl w:val="5C828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65908"/>
    <w:multiLevelType w:val="hybridMultilevel"/>
    <w:tmpl w:val="6160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A5937"/>
    <w:multiLevelType w:val="hybridMultilevel"/>
    <w:tmpl w:val="3B5E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5212">
    <w:abstractNumId w:val="11"/>
  </w:num>
  <w:num w:numId="2" w16cid:durableId="136071632">
    <w:abstractNumId w:val="2"/>
  </w:num>
  <w:num w:numId="3" w16cid:durableId="786199176">
    <w:abstractNumId w:val="1"/>
  </w:num>
  <w:num w:numId="4" w16cid:durableId="2124109284">
    <w:abstractNumId w:val="8"/>
  </w:num>
  <w:num w:numId="5" w16cid:durableId="163790866">
    <w:abstractNumId w:val="3"/>
  </w:num>
  <w:num w:numId="6" w16cid:durableId="1573002905">
    <w:abstractNumId w:val="0"/>
  </w:num>
  <w:num w:numId="7" w16cid:durableId="1370184430">
    <w:abstractNumId w:val="12"/>
  </w:num>
  <w:num w:numId="8" w16cid:durableId="2028166821">
    <w:abstractNumId w:val="14"/>
  </w:num>
  <w:num w:numId="9" w16cid:durableId="380062305">
    <w:abstractNumId w:val="4"/>
  </w:num>
  <w:num w:numId="10" w16cid:durableId="1468890104">
    <w:abstractNumId w:val="10"/>
  </w:num>
  <w:num w:numId="11" w16cid:durableId="66660453">
    <w:abstractNumId w:val="5"/>
  </w:num>
  <w:num w:numId="12" w16cid:durableId="776604074">
    <w:abstractNumId w:val="9"/>
  </w:num>
  <w:num w:numId="13" w16cid:durableId="10034301">
    <w:abstractNumId w:val="13"/>
  </w:num>
  <w:num w:numId="14" w16cid:durableId="177624684">
    <w:abstractNumId w:val="7"/>
  </w:num>
  <w:num w:numId="15" w16cid:durableId="2083677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D"/>
    <w:rsid w:val="000812E9"/>
    <w:rsid w:val="00097148"/>
    <w:rsid w:val="000A6B07"/>
    <w:rsid w:val="000A713D"/>
    <w:rsid w:val="000F6887"/>
    <w:rsid w:val="00106D82"/>
    <w:rsid w:val="00131FBE"/>
    <w:rsid w:val="00156228"/>
    <w:rsid w:val="001711B9"/>
    <w:rsid w:val="001C6D05"/>
    <w:rsid w:val="001F11AA"/>
    <w:rsid w:val="002348B9"/>
    <w:rsid w:val="00245CED"/>
    <w:rsid w:val="002503EF"/>
    <w:rsid w:val="00254832"/>
    <w:rsid w:val="002602C0"/>
    <w:rsid w:val="002D03EB"/>
    <w:rsid w:val="002E424C"/>
    <w:rsid w:val="002E5447"/>
    <w:rsid w:val="002F51D3"/>
    <w:rsid w:val="002F74D7"/>
    <w:rsid w:val="003316A2"/>
    <w:rsid w:val="0036055F"/>
    <w:rsid w:val="003726E3"/>
    <w:rsid w:val="003863EB"/>
    <w:rsid w:val="00390515"/>
    <w:rsid w:val="003F1183"/>
    <w:rsid w:val="00443277"/>
    <w:rsid w:val="00444FC2"/>
    <w:rsid w:val="004D0465"/>
    <w:rsid w:val="004E66AE"/>
    <w:rsid w:val="00503D18"/>
    <w:rsid w:val="00536FD5"/>
    <w:rsid w:val="00537532"/>
    <w:rsid w:val="0055394C"/>
    <w:rsid w:val="005A47B8"/>
    <w:rsid w:val="005B7C9F"/>
    <w:rsid w:val="005D22BB"/>
    <w:rsid w:val="005E1292"/>
    <w:rsid w:val="006438AC"/>
    <w:rsid w:val="006469EF"/>
    <w:rsid w:val="00646CC7"/>
    <w:rsid w:val="00663827"/>
    <w:rsid w:val="006D4461"/>
    <w:rsid w:val="006E0534"/>
    <w:rsid w:val="006E6490"/>
    <w:rsid w:val="00753C0D"/>
    <w:rsid w:val="00767277"/>
    <w:rsid w:val="007A2F9A"/>
    <w:rsid w:val="007A40AE"/>
    <w:rsid w:val="00805021"/>
    <w:rsid w:val="00863EDB"/>
    <w:rsid w:val="00866DBA"/>
    <w:rsid w:val="008745A7"/>
    <w:rsid w:val="00874E3C"/>
    <w:rsid w:val="008823EB"/>
    <w:rsid w:val="008C2695"/>
    <w:rsid w:val="008D4F9D"/>
    <w:rsid w:val="008D5880"/>
    <w:rsid w:val="0090403F"/>
    <w:rsid w:val="00906484"/>
    <w:rsid w:val="00911D07"/>
    <w:rsid w:val="0094458E"/>
    <w:rsid w:val="00962F45"/>
    <w:rsid w:val="009849DE"/>
    <w:rsid w:val="009E0913"/>
    <w:rsid w:val="009E3FCF"/>
    <w:rsid w:val="009F5BC3"/>
    <w:rsid w:val="00A03BE3"/>
    <w:rsid w:val="00A53426"/>
    <w:rsid w:val="00A91B3D"/>
    <w:rsid w:val="00A939BB"/>
    <w:rsid w:val="00AD67EE"/>
    <w:rsid w:val="00AE12B7"/>
    <w:rsid w:val="00AE50E2"/>
    <w:rsid w:val="00B11A56"/>
    <w:rsid w:val="00B82137"/>
    <w:rsid w:val="00BC5FED"/>
    <w:rsid w:val="00BE253B"/>
    <w:rsid w:val="00C30AF5"/>
    <w:rsid w:val="00D42D27"/>
    <w:rsid w:val="00D915A9"/>
    <w:rsid w:val="00DA10F6"/>
    <w:rsid w:val="00DC40FA"/>
    <w:rsid w:val="00DF148F"/>
    <w:rsid w:val="00E12D75"/>
    <w:rsid w:val="00E14739"/>
    <w:rsid w:val="00E305D1"/>
    <w:rsid w:val="00E310AB"/>
    <w:rsid w:val="00E53E40"/>
    <w:rsid w:val="00E64AC9"/>
    <w:rsid w:val="00E82ADB"/>
    <w:rsid w:val="00E85DFF"/>
    <w:rsid w:val="00ED6E19"/>
    <w:rsid w:val="00EF6AE0"/>
    <w:rsid w:val="00F118A5"/>
    <w:rsid w:val="00F2127D"/>
    <w:rsid w:val="00F34EF4"/>
    <w:rsid w:val="00F67312"/>
    <w:rsid w:val="00FA3CB5"/>
    <w:rsid w:val="00FB46B4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6DC95"/>
  <w15:chartTrackingRefBased/>
  <w15:docId w15:val="{5CC3E9AC-6180-4A27-A844-8376A50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ED"/>
  </w:style>
  <w:style w:type="paragraph" w:styleId="Footer">
    <w:name w:val="footer"/>
    <w:basedOn w:val="Normal"/>
    <w:link w:val="FooterChar"/>
    <w:uiPriority w:val="99"/>
    <w:unhideWhenUsed/>
    <w:rsid w:val="0024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ED"/>
  </w:style>
  <w:style w:type="paragraph" w:styleId="Title">
    <w:name w:val="Title"/>
    <w:basedOn w:val="Normal"/>
    <w:next w:val="Normal"/>
    <w:link w:val="TitleChar"/>
    <w:uiPriority w:val="10"/>
    <w:qFormat/>
    <w:rsid w:val="006E05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E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Pendaroska</dc:creator>
  <cp:keywords/>
  <dc:description/>
  <cp:lastModifiedBy>Nina Pendaroska</cp:lastModifiedBy>
  <cp:revision>3</cp:revision>
  <cp:lastPrinted>2023-11-17T08:09:00Z</cp:lastPrinted>
  <dcterms:created xsi:type="dcterms:W3CDTF">2025-06-23T13:27:00Z</dcterms:created>
  <dcterms:modified xsi:type="dcterms:W3CDTF">2025-06-23T13:42:00Z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0581d51c5c93534d8d71f333a4d0ec70ef3fc7b56068962d815fcb14608db935</vt:lpwstr>
  </property>
</Properties>
</file>